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after="312" w:afterLines="100"/>
        <w:ind w:left="-899" w:leftChars="-428" w:right="-328" w:rightChars="-156"/>
        <w:jc w:val="center"/>
        <w:rPr>
          <w:rFonts w:hint="eastAsia" w:ascii="方正小标宋简体" w:eastAsia="方正小标宋简体"/>
          <w:color w:val="FF0000"/>
          <w:spacing w:val="20"/>
          <w:w w:val="80"/>
          <w:kern w:val="0"/>
          <w:sz w:val="84"/>
          <w:szCs w:val="84"/>
        </w:rPr>
      </w:pPr>
      <w:r>
        <w:rPr>
          <w:rFonts w:hint="eastAsia" w:ascii="方正小标宋简体" w:eastAsia="方正小标宋简体"/>
          <w:color w:val="FF0000"/>
          <w:spacing w:val="20"/>
          <w:kern w:val="0"/>
          <w:sz w:val="84"/>
          <w:szCs w:val="84"/>
        </w:rPr>
        <mc:AlternateContent>
          <mc:Choice Requires="wps">
            <w:drawing>
              <wp:anchor distT="0" distB="0" distL="114300" distR="114300" simplePos="0" relativeHeight="251658240" behindDoc="0" locked="0" layoutInCell="1" allowOverlap="1">
                <wp:simplePos x="0" y="0"/>
                <wp:positionH relativeFrom="column">
                  <wp:posOffset>-161290</wp:posOffset>
                </wp:positionH>
                <wp:positionV relativeFrom="paragraph">
                  <wp:posOffset>875030</wp:posOffset>
                </wp:positionV>
                <wp:extent cx="5615940" cy="0"/>
                <wp:effectExtent l="0" t="0" r="0" b="0"/>
                <wp:wrapNone/>
                <wp:docPr id="1" name="直接连接符 1"/>
                <wp:cNvGraphicFramePr/>
                <a:graphic xmlns:a="http://schemas.openxmlformats.org/drawingml/2006/main">
                  <a:graphicData uri="http://schemas.microsoft.com/office/word/2010/wordprocessingShape">
                    <wps:wsp>
                      <wps:cNvCnPr/>
                      <wps:spPr>
                        <a:xfrm>
                          <a:off x="0" y="0"/>
                          <a:ext cx="5615940" cy="0"/>
                        </a:xfrm>
                        <a:prstGeom prst="line">
                          <a:avLst/>
                        </a:prstGeom>
                        <a:ln w="19050" cap="flat" cmpd="sng">
                          <a:solidFill>
                            <a:srgbClr val="FF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12.7pt;margin-top:68.9pt;height:0pt;width:442.2pt;z-index:251658240;mso-width-relative:page;mso-height-relative:page;" filled="f" stroked="t" coordsize="21600,21600" o:gfxdata="UEsDBAoAAAAAAIdO4kAAAAAAAAAAAAAAAAAEAAAAZHJzL1BLAwQUAAAACACHTuJAdALeYdkAAAAL&#10;AQAADwAAAGRycy9kb3ducmV2LnhtbE2PQUvDQBCF74L/YRnBW7tJtWkbs+khIPUglEYP9rbNjkkw&#10;Oxuy2yb+e0cQ6nHe+3jzXradbCcuOPjWkYJ4HoFAqpxpqVbw/vY8W4PwQZPRnSNU8I0etvntTaZT&#10;40Y64KUMteAQ8qlW0ITQp1L6qkGr/dz1SOx9usHqwOdQSzPokcNtJxdRlEirW+IPje6xaLD6Ks9W&#10;wcd+t+9fiyJxL8fdONVJXB5WnVL3d3H0BCLgFK4w/Nbn6pBzp5M7k/GiUzBbLB8ZZeNhxRuYWC83&#10;vO70p8g8k/835D9QSwMEFAAAAAgAh07iQMQdVrbcAQAAlwMAAA4AAABkcnMvZTJvRG9jLnhtbK1T&#10;zW4TMRC+I/EOlu9kNxWp6CqbHhrCBUEk4AEmtnfXkv/kcbPJS/ACSNzgxJE7b0P7GIydNIX2ghA5&#10;TMae8TfzfTM7v9xZw7Yqovau5dNJzZlywkvt+pZ/eL969oIzTOAkGO9Uy/cK+eXi6ZP5GBp15gdv&#10;pIqMQBw2Y2j5kFJoqgrFoCzgxAflKNj5aCHRMfaVjDASujXVWV2fV6OPMkQvFCLdLg9Bvij4XadE&#10;ett1qBIzLafeUrGx2E221WIOTR8hDFoc24B/6MKCdlT0BLWEBOw66kdQVovo0XdpIrytfNdpoQoH&#10;YjOtH7B5N0BQhQuJg+EkE/4/WPFmu45MS5odZw4sjejm0/efH7/c/vhM9ubbVzbNIo0BG8q9cut4&#10;PGFYx8x410Wb/4kL2xVh9ydh1S4xQZez8+ns4jnpL+5i1f3DEDG9Ut6y7LTcaJc5QwPb15ioGKXe&#10;peRr49hI3V7Us4wHtDOdgUSuDcQCXV8eozdarrQx+QnGfnNlItsCbcFqVdMvcyLgP9JylSXgcMgr&#10;ocN+DArkSydZ2gfSx9Ei89yDVZIzo2jvs0eA0CTQ5m8yqbRx1EGW9SBk9jZe7mka1yHqfiApivIl&#10;h6Zf+j1ual6v388F6f57WvwC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TgQAAFtDb250ZW50X1R5cGVzXS54bWxQSwECFAAKAAAAAACHTuJAAAAA&#10;AAAAAAAAAAAABgAAAAAAAAAAABAAAAAwAwAAX3JlbHMvUEsBAhQAFAAAAAgAh07iQIoUZjzRAAAA&#10;lAEAAAsAAAAAAAAAAQAgAAAAVAMAAF9yZWxzLy5yZWxzUEsBAhQACgAAAAAAh07iQAAAAAAAAAAA&#10;AAAAAAQAAAAAAAAAAAAQAAAAAAAAAGRycy9QSwECFAAUAAAACACHTuJAdALeYdkAAAALAQAADwAA&#10;AAAAAAABACAAAAAiAAAAZHJzL2Rvd25yZXYueG1sUEsBAhQAFAAAAAgAh07iQMQdVrbcAQAAlwMA&#10;AA4AAAAAAAAAAQAgAAAAKAEAAGRycy9lMm9Eb2MueG1sUEsFBgAAAAAGAAYAWQEAAHYFAAAAAA==&#10;">
                <v:fill on="f" focussize="0,0"/>
                <v:stroke weight="1.5pt" color="#FF0000" joinstyle="round"/>
                <v:imagedata o:title=""/>
                <o:lock v:ext="edit" aspectratio="f"/>
              </v:line>
            </w:pict>
          </mc:Fallback>
        </mc:AlternateContent>
      </w:r>
      <w:r>
        <w:rPr>
          <w:rFonts w:hint="eastAsia" w:ascii="方正小标宋简体" w:eastAsia="方正小标宋简体"/>
          <w:color w:val="FF0000"/>
          <w:spacing w:val="20"/>
          <w:w w:val="80"/>
          <w:kern w:val="0"/>
          <w:sz w:val="21"/>
          <w:szCs w:val="21"/>
          <w:lang w:val="en-US" w:eastAsia="zh-CN"/>
        </w:rPr>
        <w:t xml:space="preserve">     </w:t>
      </w:r>
      <w:r>
        <w:rPr>
          <w:rFonts w:hint="eastAsia" w:ascii="方正小标宋简体" w:eastAsia="方正小标宋简体"/>
          <w:color w:val="FF0000"/>
          <w:spacing w:val="20"/>
          <w:w w:val="80"/>
          <w:kern w:val="0"/>
          <w:sz w:val="84"/>
          <w:szCs w:val="84"/>
        </w:rPr>
        <w:t>泰安市</w:t>
      </w:r>
      <w:r>
        <w:rPr>
          <w:rFonts w:hint="eastAsia" w:ascii="方正小标宋简体" w:hAnsi="宋体" w:eastAsia="方正小标宋简体"/>
          <w:color w:val="FF0000"/>
          <w:spacing w:val="20"/>
          <w:w w:val="80"/>
          <w:kern w:val="0"/>
          <w:sz w:val="84"/>
          <w:szCs w:val="84"/>
        </w:rPr>
        <w:t>教学条件装备办公室</w:t>
      </w:r>
    </w:p>
    <w:p>
      <w:pPr>
        <w:jc w:val="right"/>
        <w:rPr>
          <w:rFonts w:hint="eastAsia" w:ascii="仿宋" w:hAnsi="仿宋" w:eastAsia="仿宋" w:cs="仿宋"/>
          <w:sz w:val="32"/>
          <w:szCs w:val="32"/>
        </w:rPr>
      </w:pPr>
      <w:r>
        <w:rPr>
          <w:rFonts w:ascii="Garamond" w:hAnsi="Garamond" w:cs="Garamond"/>
          <w:b/>
          <w:bCs/>
          <w:sz w:val="30"/>
          <w:szCs w:val="20"/>
        </w:rPr>
        <w:t xml:space="preserve">            </w:t>
      </w:r>
      <w:r>
        <w:rPr>
          <w:rFonts w:hint="eastAsia"/>
        </w:rPr>
        <w:tab/>
      </w:r>
      <w:r>
        <w:rPr>
          <w:rFonts w:hint="eastAsia" w:ascii="仿宋" w:hAnsi="仿宋" w:eastAsia="仿宋" w:cs="仿宋"/>
        </w:rPr>
        <w:tab/>
      </w:r>
      <w:r>
        <w:rPr>
          <w:rFonts w:hint="eastAsia" w:ascii="仿宋" w:hAnsi="仿宋" w:eastAsia="仿宋" w:cs="仿宋"/>
          <w:sz w:val="32"/>
          <w:szCs w:val="32"/>
        </w:rPr>
        <w:t>泰教备函〔20</w:t>
      </w:r>
      <w:r>
        <w:rPr>
          <w:rFonts w:hint="eastAsia" w:ascii="仿宋" w:hAnsi="仿宋" w:eastAsia="仿宋" w:cs="仿宋"/>
          <w:sz w:val="32"/>
          <w:szCs w:val="32"/>
          <w:lang w:val="en-US" w:eastAsia="zh-CN"/>
        </w:rPr>
        <w:t>20</w:t>
      </w:r>
      <w:r>
        <w:rPr>
          <w:rFonts w:hint="eastAsia" w:ascii="仿宋" w:hAnsi="仿宋" w:eastAsia="仿宋" w:cs="仿宋"/>
          <w:sz w:val="32"/>
          <w:szCs w:val="32"/>
        </w:rPr>
        <w:t>〕</w:t>
      </w:r>
      <w:r>
        <w:rPr>
          <w:rFonts w:hint="eastAsia" w:ascii="仿宋" w:hAnsi="仿宋" w:eastAsia="仿宋" w:cs="仿宋"/>
          <w:sz w:val="32"/>
          <w:szCs w:val="32"/>
          <w:lang w:val="en-US" w:eastAsia="zh-CN"/>
        </w:rPr>
        <w:t>4</w:t>
      </w:r>
      <w:r>
        <w:rPr>
          <w:rFonts w:hint="eastAsia" w:ascii="仿宋" w:hAnsi="仿宋" w:eastAsia="仿宋" w:cs="仿宋"/>
          <w:sz w:val="32"/>
          <w:szCs w:val="32"/>
        </w:rPr>
        <w:t>号</w:t>
      </w:r>
    </w:p>
    <w:p>
      <w:pPr>
        <w:jc w:val="right"/>
        <w:rPr>
          <w:rFonts w:hint="eastAsia" w:ascii="仿宋_GB2312" w:hAnsi="宋体" w:eastAsia="仿宋_GB2312"/>
          <w:sz w:val="32"/>
          <w:szCs w:val="32"/>
        </w:rPr>
      </w:pPr>
    </w:p>
    <w:p>
      <w:pPr>
        <w:adjustRightInd w:val="0"/>
        <w:snapToGrid w:val="0"/>
        <w:spacing w:line="520" w:lineRule="atLeast"/>
        <w:jc w:val="center"/>
        <w:rPr>
          <w:rFonts w:hint="eastAsia" w:ascii="方正小标宋简体" w:hAnsi="华文中宋" w:eastAsia="方正小标宋简体"/>
          <w:b/>
          <w:sz w:val="44"/>
          <w:szCs w:val="44"/>
        </w:rPr>
      </w:pPr>
      <w:r>
        <w:rPr>
          <w:rFonts w:hint="eastAsia" w:ascii="方正小标宋简体" w:hAnsi="华文中宋" w:eastAsia="方正小标宋简体"/>
          <w:b/>
          <w:sz w:val="44"/>
          <w:szCs w:val="44"/>
        </w:rPr>
        <w:t>关于组织20</w:t>
      </w:r>
      <w:r>
        <w:rPr>
          <w:rFonts w:hint="eastAsia" w:ascii="方正小标宋简体" w:hAnsi="华文中宋" w:eastAsia="方正小标宋简体"/>
          <w:b/>
          <w:sz w:val="44"/>
          <w:szCs w:val="44"/>
          <w:lang w:val="en-US" w:eastAsia="zh-CN"/>
        </w:rPr>
        <w:t>20</w:t>
      </w:r>
      <w:r>
        <w:rPr>
          <w:rFonts w:hint="eastAsia" w:ascii="方正小标宋简体" w:hAnsi="华文中宋" w:eastAsia="方正小标宋简体"/>
          <w:b/>
          <w:sz w:val="44"/>
          <w:szCs w:val="44"/>
        </w:rPr>
        <w:t>年度</w:t>
      </w:r>
      <w:r>
        <w:rPr>
          <w:rFonts w:hint="eastAsia" w:ascii="方正小标宋简体" w:hAnsi="华文中宋" w:eastAsia="方正小标宋简体"/>
          <w:b/>
          <w:sz w:val="44"/>
          <w:szCs w:val="44"/>
          <w:lang w:eastAsia="zh-CN"/>
        </w:rPr>
        <w:t>全市</w:t>
      </w:r>
      <w:r>
        <w:rPr>
          <w:rFonts w:hint="eastAsia" w:ascii="方正小标宋简体" w:hAnsi="华文中宋" w:eastAsia="方正小标宋简体"/>
          <w:b/>
          <w:sz w:val="44"/>
          <w:szCs w:val="44"/>
        </w:rPr>
        <w:t>教育教学信息化</w:t>
      </w:r>
      <w:r>
        <w:rPr>
          <w:rFonts w:hint="eastAsia" w:ascii="方正小标宋简体" w:hAnsi="华文中宋" w:eastAsia="方正小标宋简体"/>
          <w:b/>
          <w:sz w:val="44"/>
          <w:szCs w:val="44"/>
          <w:lang w:eastAsia="zh-CN"/>
        </w:rPr>
        <w:t>大赛和教育技术论文评选活动的通</w:t>
      </w:r>
      <w:r>
        <w:rPr>
          <w:rFonts w:hint="eastAsia" w:ascii="方正小标宋简体" w:hAnsi="华文中宋" w:eastAsia="方正小标宋简体"/>
          <w:b/>
          <w:sz w:val="44"/>
          <w:szCs w:val="44"/>
        </w:rPr>
        <w:t>知</w:t>
      </w:r>
    </w:p>
    <w:p>
      <w:pPr>
        <w:jc w:val="center"/>
        <w:rPr>
          <w:rFonts w:hint="eastAsia" w:ascii="华文中宋" w:hAnsi="华文中宋" w:eastAsia="华文中宋"/>
          <w:b/>
          <w:szCs w:val="21"/>
        </w:rPr>
      </w:pPr>
    </w:p>
    <w:p>
      <w:pPr>
        <w:keepNext w:val="0"/>
        <w:keepLines w:val="0"/>
        <w:pageBreakBefore w:val="0"/>
        <w:widowControl w:val="0"/>
        <w:kinsoku/>
        <w:wordWrap w:val="0"/>
        <w:overflowPunct/>
        <w:topLinePunct w:val="0"/>
        <w:autoSpaceDE/>
        <w:autoSpaceDN/>
        <w:bidi w:val="0"/>
        <w:adjustRightInd/>
        <w:snapToGrid/>
        <w:jc w:val="both"/>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各县市区教育和体育局，泰安高新区、泰山景区、泰安旅游经济开发区、</w:t>
      </w:r>
      <w:r>
        <w:rPr>
          <w:rFonts w:hint="eastAsia" w:ascii="仿宋" w:hAnsi="仿宋" w:eastAsia="仿宋"/>
          <w:sz w:val="32"/>
          <w:szCs w:val="32"/>
          <w:lang w:eastAsia="zh-CN"/>
        </w:rPr>
        <w:t>徂汶景区有关部门</w:t>
      </w:r>
      <w:r>
        <w:rPr>
          <w:rFonts w:hint="eastAsia" w:ascii="仿宋" w:hAnsi="仿宋" w:eastAsia="仿宋" w:cs="仿宋"/>
          <w:sz w:val="32"/>
          <w:szCs w:val="32"/>
          <w:lang w:eastAsia="zh-CN"/>
        </w:rPr>
        <w:t>，市直各中小学校：</w:t>
      </w:r>
    </w:p>
    <w:p>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根据山东省电化教育馆《关于组织2020年度全省教育教学信息化交流展示活动的补充通知》（鲁教馆〔2020〕2号）文件精神，结合我市实际情况，现就2020年度全市教育教学信息化大赛和教育技术论文评选活动相关事宜通知如下：</w:t>
      </w:r>
    </w:p>
    <w:p>
      <w:pPr>
        <w:pStyle w:val="4"/>
        <w:numPr>
          <w:ilvl w:val="0"/>
          <w:numId w:val="0"/>
        </w:numPr>
        <w:spacing w:line="580" w:lineRule="exact"/>
        <w:ind w:left="567" w:leftChars="0"/>
        <w:rPr>
          <w:rFonts w:hint="eastAsia" w:ascii="黑体" w:hAnsi="黑体" w:eastAsia="黑体" w:cs="仿宋_GB2312"/>
          <w:sz w:val="32"/>
          <w:szCs w:val="32"/>
        </w:rPr>
      </w:pPr>
      <w:r>
        <w:rPr>
          <w:rFonts w:hint="eastAsia" w:ascii="黑体" w:hAnsi="黑体" w:eastAsia="黑体" w:cs="仿宋_GB2312"/>
          <w:sz w:val="32"/>
          <w:szCs w:val="32"/>
          <w:lang w:eastAsia="zh-CN"/>
        </w:rPr>
        <w:t>一、</w:t>
      </w:r>
      <w:r>
        <w:rPr>
          <w:rFonts w:hint="eastAsia" w:ascii="黑体" w:hAnsi="黑体" w:eastAsia="黑体" w:cs="仿宋_GB2312"/>
          <w:sz w:val="32"/>
          <w:szCs w:val="32"/>
        </w:rPr>
        <w:t>教育教学信息化大赛</w:t>
      </w:r>
    </w:p>
    <w:p>
      <w:pPr>
        <w:adjustRightInd w:val="0"/>
        <w:spacing w:beforeLines="50" w:afterLines="50" w:line="580" w:lineRule="exact"/>
        <w:ind w:firstLine="640" w:firstLineChars="200"/>
        <w:rPr>
          <w:rFonts w:hint="eastAsia" w:ascii="楷体" w:hAnsi="楷体" w:eastAsia="楷体" w:cs="楷体"/>
          <w:bCs/>
          <w:sz w:val="32"/>
          <w:szCs w:val="32"/>
          <w:lang w:val="en-US" w:eastAsia="zh-CN"/>
        </w:rPr>
      </w:pPr>
      <w:r>
        <w:rPr>
          <w:rFonts w:hint="eastAsia" w:ascii="楷体" w:hAnsi="楷体" w:eastAsia="楷体" w:cs="楷体"/>
          <w:bCs/>
          <w:sz w:val="32"/>
          <w:szCs w:val="32"/>
        </w:rPr>
        <w:t>（一）</w:t>
      </w:r>
      <w:r>
        <w:rPr>
          <w:rFonts w:hint="eastAsia" w:ascii="楷体" w:hAnsi="楷体" w:eastAsia="楷体" w:cs="楷体"/>
          <w:bCs/>
          <w:sz w:val="32"/>
          <w:szCs w:val="32"/>
          <w:lang w:eastAsia="zh-CN"/>
        </w:rPr>
        <w:t>名额分配</w:t>
      </w:r>
    </w:p>
    <w:p>
      <w:pPr>
        <w:ind w:firstLine="640" w:firstLineChars="200"/>
        <w:rPr>
          <w:rFonts w:hint="eastAsia" w:ascii="仿宋" w:hAnsi="仿宋" w:eastAsia="仿宋" w:cs="仿宋"/>
          <w:sz w:val="32"/>
          <w:szCs w:val="32"/>
          <w:lang w:eastAsia="zh-CN"/>
        </w:rPr>
      </w:pPr>
      <w:r>
        <w:rPr>
          <w:rFonts w:hint="eastAsia" w:ascii="仿宋" w:hAnsi="仿宋" w:eastAsia="仿宋" w:cs="仿宋"/>
          <w:sz w:val="32"/>
          <w:szCs w:val="32"/>
          <w:lang w:eastAsia="zh-CN"/>
        </w:rPr>
        <w:t>各单位经过初评后，推荐优秀作品参加市级评选。各单位推荐作品数量见《</w:t>
      </w:r>
      <w:r>
        <w:rPr>
          <w:rFonts w:hint="eastAsia" w:ascii="仿宋" w:hAnsi="仿宋" w:eastAsia="仿宋" w:cs="仿宋"/>
          <w:sz w:val="32"/>
          <w:szCs w:val="32"/>
          <w:lang w:val="en-US" w:eastAsia="zh-CN"/>
        </w:rPr>
        <w:t>各县市区、市直学校教育教学信息化大奖赛作品推荐数量明细表</w:t>
      </w:r>
      <w:r>
        <w:rPr>
          <w:rFonts w:hint="eastAsia" w:ascii="仿宋" w:hAnsi="仿宋" w:eastAsia="仿宋" w:cs="仿宋"/>
          <w:sz w:val="32"/>
          <w:szCs w:val="32"/>
          <w:lang w:eastAsia="zh-CN"/>
        </w:rPr>
        <w:t>》（附件</w:t>
      </w:r>
      <w:r>
        <w:rPr>
          <w:rFonts w:hint="eastAsia" w:ascii="仿宋" w:hAnsi="仿宋" w:eastAsia="仿宋" w:cs="仿宋"/>
          <w:sz w:val="32"/>
          <w:szCs w:val="32"/>
          <w:lang w:val="en-US" w:eastAsia="zh-CN"/>
        </w:rPr>
        <w:t>4</w:t>
      </w:r>
      <w:r>
        <w:rPr>
          <w:rFonts w:hint="eastAsia" w:ascii="仿宋" w:hAnsi="仿宋" w:eastAsia="仿宋" w:cs="仿宋"/>
          <w:sz w:val="32"/>
          <w:szCs w:val="32"/>
          <w:lang w:eastAsia="zh-CN"/>
        </w:rPr>
        <w:t>）。</w:t>
      </w:r>
    </w:p>
    <w:p>
      <w:pPr>
        <w:adjustRightInd w:val="0"/>
        <w:spacing w:beforeLines="50" w:afterLines="50" w:line="580" w:lineRule="exact"/>
        <w:ind w:firstLine="640" w:firstLineChars="200"/>
        <w:rPr>
          <w:rFonts w:hint="eastAsia" w:ascii="楷体" w:hAnsi="楷体" w:eastAsia="楷体" w:cs="楷体"/>
          <w:bCs/>
          <w:sz w:val="32"/>
          <w:szCs w:val="32"/>
          <w:lang w:eastAsia="zh-CN"/>
        </w:rPr>
      </w:pPr>
      <w:r>
        <w:rPr>
          <w:rFonts w:hint="eastAsia" w:ascii="楷体" w:hAnsi="楷体" w:eastAsia="楷体" w:cs="楷体"/>
          <w:bCs/>
          <w:sz w:val="32"/>
          <w:szCs w:val="32"/>
          <w:lang w:eastAsia="zh-CN"/>
        </w:rPr>
        <w:t>（二）报送要求</w:t>
      </w:r>
    </w:p>
    <w:p>
      <w:pPr>
        <w:ind w:firstLine="640" w:firstLineChars="200"/>
        <w:rPr>
          <w:rFonts w:hint="eastAsia" w:ascii="仿宋" w:hAnsi="仿宋" w:eastAsia="仿宋" w:cs="仿宋"/>
          <w:color w:val="auto"/>
          <w:sz w:val="32"/>
          <w:szCs w:val="32"/>
          <w:lang w:eastAsia="zh-CN"/>
        </w:rPr>
      </w:pPr>
      <w:r>
        <w:rPr>
          <w:rFonts w:hint="eastAsia" w:ascii="仿宋" w:hAnsi="仿宋" w:eastAsia="仿宋" w:cs="仿宋"/>
          <w:color w:val="auto"/>
          <w:sz w:val="32"/>
          <w:szCs w:val="32"/>
          <w:lang w:val="en-US" w:eastAsia="zh-CN"/>
        </w:rPr>
        <w:t>1、</w:t>
      </w:r>
      <w:r>
        <w:rPr>
          <w:rFonts w:hint="eastAsia" w:ascii="仿宋" w:hAnsi="仿宋" w:eastAsia="仿宋" w:cs="仿宋"/>
          <w:color w:val="auto"/>
          <w:sz w:val="32"/>
          <w:szCs w:val="32"/>
          <w:lang w:eastAsia="zh-CN"/>
        </w:rPr>
        <w:t>各单位报送作品时按学段分档，然后再按类别（课件、微课、课例等）分包，将全部作品及《20</w:t>
      </w:r>
      <w:r>
        <w:rPr>
          <w:rFonts w:hint="eastAsia" w:ascii="仿宋" w:hAnsi="仿宋" w:eastAsia="仿宋" w:cs="仿宋"/>
          <w:color w:val="auto"/>
          <w:sz w:val="32"/>
          <w:szCs w:val="32"/>
          <w:lang w:val="en-US" w:eastAsia="zh-CN"/>
        </w:rPr>
        <w:t>20</w:t>
      </w:r>
      <w:r>
        <w:rPr>
          <w:rFonts w:hint="eastAsia" w:ascii="仿宋" w:hAnsi="仿宋" w:eastAsia="仿宋" w:cs="仿宋"/>
          <w:color w:val="auto"/>
          <w:sz w:val="32"/>
          <w:szCs w:val="32"/>
          <w:lang w:eastAsia="zh-CN"/>
        </w:rPr>
        <w:t>年教育教学信息化大赛评选活动作品汇总表》（附件</w:t>
      </w:r>
      <w:r>
        <w:rPr>
          <w:rFonts w:hint="eastAsia" w:ascii="仿宋" w:hAnsi="仿宋" w:eastAsia="仿宋" w:cs="仿宋"/>
          <w:color w:val="auto"/>
          <w:sz w:val="32"/>
          <w:szCs w:val="32"/>
          <w:lang w:val="en-US" w:eastAsia="zh-CN"/>
        </w:rPr>
        <w:t>5</w:t>
      </w:r>
      <w:r>
        <w:rPr>
          <w:rFonts w:hint="eastAsia" w:ascii="仿宋" w:hAnsi="仿宋" w:eastAsia="仿宋" w:cs="仿宋"/>
          <w:color w:val="auto"/>
          <w:sz w:val="32"/>
          <w:szCs w:val="32"/>
          <w:lang w:eastAsia="zh-CN"/>
        </w:rPr>
        <w:t>）用移动硬盘（或</w:t>
      </w:r>
      <w:r>
        <w:rPr>
          <w:rFonts w:hint="eastAsia" w:ascii="仿宋" w:hAnsi="仿宋" w:eastAsia="仿宋" w:cs="仿宋"/>
          <w:color w:val="auto"/>
          <w:sz w:val="32"/>
          <w:szCs w:val="32"/>
          <w:lang w:val="en-US" w:eastAsia="zh-CN"/>
        </w:rPr>
        <w:t>U盘</w:t>
      </w:r>
      <w:r>
        <w:rPr>
          <w:rFonts w:hint="eastAsia" w:ascii="仿宋" w:hAnsi="仿宋" w:eastAsia="仿宋" w:cs="仿宋"/>
          <w:color w:val="auto"/>
          <w:sz w:val="32"/>
          <w:szCs w:val="32"/>
          <w:lang w:eastAsia="zh-CN"/>
        </w:rPr>
        <w:t>）报送至泰安市教育局青年路办公区</w:t>
      </w:r>
      <w:r>
        <w:rPr>
          <w:rFonts w:hint="eastAsia" w:ascii="仿宋" w:hAnsi="仿宋" w:eastAsia="仿宋" w:cs="仿宋"/>
          <w:color w:val="auto"/>
          <w:sz w:val="32"/>
          <w:szCs w:val="32"/>
          <w:lang w:val="en-US" w:eastAsia="zh-CN"/>
        </w:rPr>
        <w:t>512室</w:t>
      </w:r>
      <w:r>
        <w:rPr>
          <w:rFonts w:hint="eastAsia" w:ascii="仿宋" w:hAnsi="仿宋" w:eastAsia="仿宋" w:cs="仿宋"/>
          <w:color w:val="auto"/>
          <w:sz w:val="32"/>
          <w:szCs w:val="32"/>
          <w:lang w:eastAsia="zh-CN"/>
        </w:rPr>
        <w:t>。在填写汇总表时：</w:t>
      </w:r>
      <w:r>
        <w:rPr>
          <w:rFonts w:hint="eastAsia" w:ascii="仿宋" w:hAnsi="仿宋" w:eastAsia="仿宋" w:cs="仿宋"/>
          <w:sz w:val="32"/>
          <w:szCs w:val="32"/>
          <w:lang w:eastAsia="zh-CN"/>
        </w:rPr>
        <w:t>表格中所有栏目必须填全；作品名称请勿使用“《》”；特教中心的“学段”一栏，填特殊教育，不得填中小学。</w:t>
      </w:r>
    </w:p>
    <w:p>
      <w:pPr>
        <w:ind w:firstLine="640" w:firstLineChars="200"/>
        <w:rPr>
          <w:rFonts w:hint="eastAsia" w:ascii="仿宋" w:hAnsi="仿宋" w:eastAsia="仿宋" w:cs="仿宋"/>
          <w:color w:val="auto"/>
          <w:sz w:val="32"/>
          <w:szCs w:val="32"/>
          <w:lang w:eastAsia="zh-CN"/>
        </w:rPr>
      </w:pPr>
      <w:r>
        <w:rPr>
          <w:rFonts w:hint="eastAsia" w:ascii="仿宋" w:hAnsi="仿宋" w:eastAsia="仿宋" w:cs="仿宋"/>
          <w:color w:val="auto"/>
          <w:sz w:val="32"/>
          <w:szCs w:val="32"/>
          <w:lang w:val="en-US" w:eastAsia="zh-CN"/>
        </w:rPr>
        <w:t>2、每个作品一个文件夹，文件夹命名格式为：学段+科目+类别+教师姓名；作品必须按照《全国教育教学信息化交流展示活动第二十四届全国教师教育教学信息化交流活动指南》（附件2）中“项目说明及要求”中的相关要求制作和上报；每个文件夹中都应包含作品及《作品登记表》（附表1或附表2），作品需特殊软件才能打开或播放的请同时提供相关软件。</w:t>
      </w:r>
    </w:p>
    <w:p>
      <w:pPr>
        <w:ind w:firstLine="640" w:firstLineChars="200"/>
        <w:rPr>
          <w:rFonts w:hint="eastAsia" w:ascii="仿宋" w:hAnsi="仿宋" w:eastAsia="仿宋" w:cs="仿宋"/>
          <w:sz w:val="32"/>
          <w:szCs w:val="32"/>
          <w:lang w:eastAsia="zh-CN"/>
        </w:rPr>
      </w:pPr>
      <w:r>
        <w:rPr>
          <w:rFonts w:hint="eastAsia" w:ascii="仿宋" w:hAnsi="仿宋" w:eastAsia="仿宋" w:cs="仿宋"/>
          <w:sz w:val="32"/>
          <w:szCs w:val="32"/>
          <w:lang w:val="en-US" w:eastAsia="zh-CN"/>
        </w:rPr>
        <w:t>3、</w:t>
      </w:r>
      <w:r>
        <w:rPr>
          <w:rFonts w:hint="eastAsia" w:ascii="仿宋" w:hAnsi="仿宋" w:eastAsia="仿宋" w:cs="仿宋"/>
          <w:sz w:val="32"/>
          <w:szCs w:val="32"/>
          <w:lang w:eastAsia="zh-CN"/>
        </w:rPr>
        <w:t>教师个人信息必须准确无误、学校名称必须与学校公章一致，联系方式必须为手机号码，因个人信息填报错误导致无法进行评审及获得省级推荐不能正常收到短信的，责任自负。</w:t>
      </w:r>
    </w:p>
    <w:p>
      <w:pPr>
        <w:ind w:firstLine="640" w:firstLineChars="200"/>
        <w:rPr>
          <w:rFonts w:hint="eastAsia" w:ascii="仿宋_GB2312" w:eastAsia="仿宋_GB2312"/>
          <w:sz w:val="32"/>
          <w:szCs w:val="32"/>
          <w:lang w:eastAsia="zh-CN"/>
        </w:rPr>
      </w:pPr>
      <w:r>
        <w:rPr>
          <w:rFonts w:hint="eastAsia" w:ascii="楷体" w:hAnsi="楷体" w:eastAsia="楷体" w:cs="楷体"/>
          <w:bCs/>
          <w:sz w:val="32"/>
          <w:szCs w:val="32"/>
          <w:lang w:eastAsia="zh-CN"/>
        </w:rPr>
        <w:t>（三）报送时间</w:t>
      </w:r>
    </w:p>
    <w:p>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报送截止时间：2020年6月14日。</w:t>
      </w:r>
    </w:p>
    <w:p>
      <w:pPr>
        <w:ind w:firstLine="640" w:firstLineChars="200"/>
        <w:rPr>
          <w:rFonts w:hint="eastAsia" w:ascii="楷体" w:hAnsi="楷体" w:eastAsia="楷体" w:cs="楷体"/>
          <w:bCs/>
          <w:sz w:val="32"/>
          <w:szCs w:val="32"/>
          <w:lang w:val="en-US" w:eastAsia="zh-CN"/>
        </w:rPr>
      </w:pPr>
      <w:r>
        <w:rPr>
          <w:rFonts w:hint="eastAsia" w:ascii="楷体" w:hAnsi="楷体" w:eastAsia="楷体" w:cs="楷体"/>
          <w:bCs/>
          <w:sz w:val="32"/>
          <w:szCs w:val="32"/>
          <w:lang w:val="en-US" w:eastAsia="zh-CN"/>
        </w:rPr>
        <w:t>（四）其他事项</w:t>
      </w:r>
    </w:p>
    <w:p>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1、关于教育教学信息化应用课例的具体类别和要求与2019年相同（是指信息技术与学科融合课例，报送时课例分传统多媒体类、电子白板类和移动终端类）。</w:t>
      </w:r>
    </w:p>
    <w:p>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未尽事宜，请参阅《关于组织2020年度全省教育教学信息化交流展示活动的补充通知》（附件1）、《全国教育教学信息化交流展示活动第二十四届全国教师教育教学信息化交流活动指南》（附件2）及《2020年教育部数字支撑研究中心文件》（附件6）。</w:t>
      </w:r>
    </w:p>
    <w:p>
      <w:pPr>
        <w:ind w:firstLine="640" w:firstLineChars="200"/>
        <w:rPr>
          <w:rFonts w:hint="eastAsia" w:ascii="仿宋" w:hAnsi="仿宋" w:eastAsia="仿宋" w:cs="仿宋"/>
          <w:sz w:val="32"/>
          <w:szCs w:val="32"/>
          <w:lang w:val="en-US" w:eastAsia="zh-CN"/>
        </w:rPr>
      </w:pPr>
      <w:r>
        <w:rPr>
          <w:rFonts w:hint="eastAsia" w:ascii="黑体" w:hAnsi="黑体" w:eastAsia="黑体" w:cs="仿宋_GB2312"/>
          <w:sz w:val="32"/>
          <w:szCs w:val="32"/>
          <w:lang w:eastAsia="zh-CN"/>
        </w:rPr>
        <w:t>二、</w:t>
      </w:r>
      <w:r>
        <w:rPr>
          <w:rFonts w:hint="eastAsia" w:ascii="黑体" w:hAnsi="黑体" w:eastAsia="黑体" w:cs="仿宋_GB2312"/>
          <w:sz w:val="32"/>
          <w:szCs w:val="32"/>
        </w:rPr>
        <w:t>教育技术论文评选活动</w:t>
      </w:r>
    </w:p>
    <w:p>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1、各单位组织参加活动的教师于2020年8月20日前登录中央电化教育馆论文活动专用网站edu.10086.cn/lunwen，手机客户端edu.10086.cn/app进行在线投稿。</w:t>
      </w:r>
    </w:p>
    <w:p>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本次教育技术论文评选活动严格按照省文件要求执行。特别是参评的作品不能有明显的政治原则性错误和科学常识性错误；严禁剽窃和抄袭行为；作者所投论文稿件的原创性不低于50%，且从未在任何报刊、杂志等媒体发表。</w:t>
      </w:r>
    </w:p>
    <w:p>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3、未尽事宜，请参阅《关于组织2020年度全省教育教学信息化交流展示活动的补充通知》（附件1）及《第十一届“中国移动‘和教育’杯”全国教育技术论文活动指南》（附件3）。</w:t>
      </w:r>
    </w:p>
    <w:p>
      <w:pPr>
        <w:ind w:firstLine="640" w:firstLineChars="200"/>
        <w:rPr>
          <w:rFonts w:hint="eastAsia" w:ascii="仿宋" w:hAnsi="仿宋" w:eastAsia="仿宋" w:cs="仿宋"/>
          <w:sz w:val="32"/>
          <w:szCs w:val="32"/>
          <w:lang w:eastAsia="zh-CN"/>
        </w:rPr>
      </w:pPr>
      <w:r>
        <w:rPr>
          <w:rFonts w:hint="eastAsia" w:ascii="仿宋" w:hAnsi="仿宋" w:eastAsia="仿宋" w:cs="仿宋"/>
          <w:sz w:val="32"/>
          <w:szCs w:val="32"/>
          <w:lang w:eastAsia="zh-CN"/>
        </w:rPr>
        <w:t>联系人：张锋</w:t>
      </w:r>
      <w:r>
        <w:rPr>
          <w:rFonts w:hint="eastAsia" w:ascii="仿宋" w:hAnsi="仿宋" w:eastAsia="仿宋" w:cs="仿宋"/>
          <w:sz w:val="32"/>
          <w:szCs w:val="32"/>
          <w:lang w:val="en-US" w:eastAsia="zh-CN"/>
        </w:rPr>
        <w:t xml:space="preserve"> 董海涛</w:t>
      </w:r>
      <w:r>
        <w:rPr>
          <w:rFonts w:hint="eastAsia" w:ascii="仿宋" w:hAnsi="仿宋" w:eastAsia="仿宋" w:cs="仿宋"/>
          <w:sz w:val="32"/>
          <w:szCs w:val="32"/>
          <w:lang w:eastAsia="zh-CN"/>
        </w:rPr>
        <w:t xml:space="preserve">，电话：8205131 </w:t>
      </w:r>
    </w:p>
    <w:p>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eastAsia="zh-CN"/>
        </w:rPr>
        <w:t>邮</w:t>
      </w:r>
      <w:r>
        <w:rPr>
          <w:rFonts w:hint="eastAsia" w:ascii="仿宋" w:hAnsi="仿宋" w:eastAsia="仿宋" w:cs="仿宋"/>
          <w:sz w:val="32"/>
          <w:szCs w:val="32"/>
          <w:lang w:val="en-US" w:eastAsia="zh-CN"/>
        </w:rPr>
        <w:t xml:space="preserve">  </w:t>
      </w:r>
      <w:r>
        <w:rPr>
          <w:rFonts w:hint="eastAsia" w:ascii="仿宋" w:hAnsi="仿宋" w:eastAsia="仿宋" w:cs="仿宋"/>
          <w:sz w:val="32"/>
          <w:szCs w:val="32"/>
          <w:lang w:eastAsia="zh-CN"/>
        </w:rPr>
        <w:t>箱：</w:t>
      </w:r>
      <w:r>
        <w:rPr>
          <w:rFonts w:hint="eastAsia" w:ascii="仿宋" w:hAnsi="仿宋" w:eastAsia="仿宋" w:cs="仿宋"/>
          <w:sz w:val="32"/>
          <w:szCs w:val="32"/>
          <w:lang w:eastAsia="zh-CN"/>
        </w:rPr>
        <w:fldChar w:fldCharType="begin"/>
      </w:r>
      <w:r>
        <w:rPr>
          <w:rFonts w:hint="eastAsia" w:ascii="仿宋" w:hAnsi="仿宋" w:eastAsia="仿宋" w:cs="仿宋"/>
          <w:sz w:val="32"/>
          <w:szCs w:val="32"/>
          <w:lang w:eastAsia="zh-CN"/>
        </w:rPr>
        <w:instrText xml:space="preserve"> HYPERLINK "mailto:qlqwl123@163.com" </w:instrText>
      </w:r>
      <w:r>
        <w:rPr>
          <w:rFonts w:hint="eastAsia" w:ascii="仿宋" w:hAnsi="仿宋" w:eastAsia="仿宋" w:cs="仿宋"/>
          <w:sz w:val="32"/>
          <w:szCs w:val="32"/>
          <w:lang w:eastAsia="zh-CN"/>
        </w:rPr>
        <w:fldChar w:fldCharType="separate"/>
      </w:r>
      <w:r>
        <w:rPr>
          <w:rFonts w:hint="eastAsia" w:ascii="仿宋" w:hAnsi="仿宋" w:eastAsia="仿宋" w:cs="仿宋"/>
          <w:sz w:val="32"/>
          <w:szCs w:val="32"/>
          <w:lang w:eastAsia="zh-CN"/>
        </w:rPr>
        <w:t>qlqwl123@163.com</w:t>
      </w:r>
      <w:r>
        <w:rPr>
          <w:rFonts w:hint="eastAsia" w:ascii="仿宋" w:hAnsi="仿宋" w:eastAsia="仿宋" w:cs="仿宋"/>
          <w:sz w:val="32"/>
          <w:szCs w:val="32"/>
          <w:lang w:eastAsia="zh-CN"/>
        </w:rPr>
        <w:fldChar w:fldCharType="end"/>
      </w:r>
    </w:p>
    <w:p>
      <w:pPr>
        <w:ind w:left="1598" w:leftChars="304" w:hanging="960" w:hangingChars="300"/>
        <w:rPr>
          <w:rFonts w:hint="eastAsia" w:ascii="仿宋" w:hAnsi="仿宋" w:eastAsia="仿宋" w:cs="仿宋"/>
          <w:sz w:val="32"/>
          <w:szCs w:val="32"/>
          <w:lang w:val="en-US" w:eastAsia="zh-CN"/>
        </w:rPr>
      </w:pPr>
    </w:p>
    <w:p>
      <w:pPr>
        <w:ind w:left="1918" w:leftChars="304" w:hanging="1280" w:hangingChars="4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附件：1.关于组织2020年度全省教育教学信息化交流展示活动的补充通知　</w:t>
      </w:r>
    </w:p>
    <w:p>
      <w:pPr>
        <w:ind w:left="1916" w:leftChars="760" w:hanging="320" w:hangingChars="1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2.全国教育教学信息化交流展示活动第二十四届全国教师教育教学信息化交流活动指南</w:t>
      </w:r>
    </w:p>
    <w:p>
      <w:pPr>
        <w:ind w:left="1916" w:leftChars="760" w:hanging="320" w:hangingChars="1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3.中央电化教育馆关于公布第十一届“中国移动‘和教育’杯”全国教育技术论文活动指南</w:t>
      </w:r>
    </w:p>
    <w:p>
      <w:pPr>
        <w:ind w:left="1916" w:leftChars="760" w:hanging="320" w:hangingChars="1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4.各县市区、市直各学校教育教学信息化大奖赛作品推荐数量明细表</w:t>
      </w:r>
    </w:p>
    <w:p>
      <w:pPr>
        <w:ind w:left="1916" w:leftChars="760" w:hanging="320" w:hangingChars="1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5.2020年教育教学信息化大赛评选活动作品汇总表</w:t>
      </w:r>
    </w:p>
    <w:p>
      <w:pPr>
        <w:ind w:left="1916" w:leftChars="760" w:hanging="320" w:hangingChars="100"/>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6.2020年教育部数字支撑研究中心文件</w:t>
      </w:r>
    </w:p>
    <w:p>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附表：1.作品登记表（课件、微课、课例）</w:t>
      </w:r>
    </w:p>
    <w:p>
      <w:pPr>
        <w:ind w:left="1918" w:leftChars="304" w:hanging="1280" w:hangingChars="4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2.作品登记表（信息技术创新教学案例、教师网络空间应用案例、信息化教学课程案例）</w:t>
      </w:r>
      <w:bookmarkStart w:id="0" w:name="_GoBack"/>
      <w:bookmarkEnd w:id="0"/>
    </w:p>
    <w:p>
      <w:pPr>
        <w:ind w:left="1598" w:leftChars="304" w:hanging="960" w:hangingChars="3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w:t>
      </w:r>
    </w:p>
    <w:p>
      <w:pPr>
        <w:ind w:left="1598" w:leftChars="304" w:hanging="960" w:hangingChars="300"/>
        <w:rPr>
          <w:rFonts w:hint="eastAsia" w:ascii="仿宋" w:hAnsi="仿宋" w:eastAsia="仿宋" w:cs="仿宋"/>
          <w:sz w:val="32"/>
          <w:szCs w:val="32"/>
          <w:lang w:val="en-US" w:eastAsia="zh-CN"/>
        </w:rPr>
      </w:pPr>
    </w:p>
    <w:p>
      <w:pPr>
        <w:ind w:firstLine="640" w:firstLineChars="200"/>
        <w:jc w:val="cente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2020年6月1日  </w:t>
      </w:r>
    </w:p>
    <w:p>
      <w:pPr>
        <w:rPr>
          <w:rFonts w:hint="eastAsia" w:ascii="仿宋" w:hAnsi="仿宋" w:eastAsia="仿宋" w:cs="仿宋"/>
          <w:sz w:val="32"/>
          <w:szCs w:val="32"/>
          <w:lang w:val="en-US" w:eastAsia="zh-CN"/>
        </w:rPr>
      </w:pPr>
    </w:p>
    <w:p>
      <w:pPr>
        <w:rPr>
          <w:rFonts w:hint="eastAsia" w:ascii="仿宋" w:hAnsi="仿宋" w:eastAsia="仿宋" w:cs="仿宋"/>
          <w:sz w:val="32"/>
          <w:szCs w:val="32"/>
          <w:lang w:val="en-US" w:eastAsia="zh-CN"/>
        </w:rPr>
      </w:pPr>
    </w:p>
    <w:p>
      <w:pPr>
        <w:rPr>
          <w:rFonts w:hint="eastAsia" w:ascii="仿宋" w:hAnsi="仿宋" w:eastAsia="仿宋" w:cs="仿宋"/>
          <w:sz w:val="32"/>
          <w:szCs w:val="32"/>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5C5A7A31-6958-4F58-8382-73365459A799}"/>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2000000000000000000"/>
    <w:charset w:val="86"/>
    <w:family w:val="script"/>
    <w:pitch w:val="default"/>
    <w:sig w:usb0="00000001" w:usb1="08000000" w:usb2="00000000" w:usb3="00000000" w:csb0="00040000" w:csb1="00000000"/>
    <w:embedRegular r:id="rId2" w:fontKey="{551B2ECC-E319-485B-983A-28C01D7691EF}"/>
  </w:font>
  <w:font w:name="仿宋">
    <w:panose1 w:val="02010609060101010101"/>
    <w:charset w:val="86"/>
    <w:family w:val="auto"/>
    <w:pitch w:val="default"/>
    <w:sig w:usb0="800002BF" w:usb1="38CF7CFA" w:usb2="00000016" w:usb3="00000000" w:csb0="00040001" w:csb1="00000000"/>
    <w:embedRegular r:id="rId3" w:fontKey="{847F7E95-2544-4EEF-8B42-EF805E52C95B}"/>
  </w:font>
  <w:font w:name="Garamond">
    <w:altName w:val="宋体"/>
    <w:panose1 w:val="02020404030301010803"/>
    <w:charset w:val="86"/>
    <w:family w:val="roman"/>
    <w:pitch w:val="default"/>
    <w:sig w:usb0="00000000" w:usb1="00000000" w:usb2="00000000" w:usb3="00000000" w:csb0="0000009F" w:csb1="DFD70000"/>
    <w:embedRegular r:id="rId4" w:fontKey="{1ED11C61-0FCD-477B-923A-510976642D4F}"/>
  </w:font>
  <w:font w:name="仿宋_GB2312">
    <w:panose1 w:val="02010609030101010101"/>
    <w:charset w:val="86"/>
    <w:family w:val="modern"/>
    <w:pitch w:val="default"/>
    <w:sig w:usb0="00000000" w:usb1="00000000" w:usb2="00000000" w:usb3="00000000" w:csb0="00000000" w:csb1="00000000"/>
    <w:embedRegular r:id="rId5" w:fontKey="{572FDF6F-5FC9-4F34-9238-C2B61426B6FF}"/>
  </w:font>
  <w:font w:name="华文中宋">
    <w:altName w:val="宋体"/>
    <w:panose1 w:val="02010600040101010101"/>
    <w:charset w:val="86"/>
    <w:family w:val="auto"/>
    <w:pitch w:val="default"/>
    <w:sig w:usb0="00000000" w:usb1="00000000" w:usb2="00000010" w:usb3="00000000" w:csb0="0004009F" w:csb1="00000000"/>
    <w:embedRegular r:id="rId6" w:fontKey="{9FE0A4CE-F67D-471F-99F5-6CF8D9B96D76}"/>
  </w:font>
  <w:font w:name="楷体">
    <w:panose1 w:val="02010609060101010101"/>
    <w:charset w:val="86"/>
    <w:family w:val="modern"/>
    <w:pitch w:val="default"/>
    <w:sig w:usb0="800002BF" w:usb1="38CF7CFA" w:usb2="00000016" w:usb3="00000000" w:csb0="00040001" w:csb1="00000000"/>
    <w:embedRegular r:id="rId7" w:fontKey="{3E2BE9B5-2A28-49B9-A562-271B579D211E}"/>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oNotDisplayPageBoundaries w:val="1"/>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D6459A"/>
    <w:rsid w:val="02841431"/>
    <w:rsid w:val="03684FDA"/>
    <w:rsid w:val="0383304F"/>
    <w:rsid w:val="04356339"/>
    <w:rsid w:val="04BF28A0"/>
    <w:rsid w:val="0609185A"/>
    <w:rsid w:val="06F47D95"/>
    <w:rsid w:val="08CF4DF7"/>
    <w:rsid w:val="091D0E25"/>
    <w:rsid w:val="09DF2E65"/>
    <w:rsid w:val="0AF74BC5"/>
    <w:rsid w:val="0D245E97"/>
    <w:rsid w:val="10AF1195"/>
    <w:rsid w:val="10CF508B"/>
    <w:rsid w:val="10D430D7"/>
    <w:rsid w:val="11B82A97"/>
    <w:rsid w:val="12166DC1"/>
    <w:rsid w:val="126C52E4"/>
    <w:rsid w:val="12CF3E48"/>
    <w:rsid w:val="149924EF"/>
    <w:rsid w:val="15BC4CE4"/>
    <w:rsid w:val="15D85A31"/>
    <w:rsid w:val="16AF1DD0"/>
    <w:rsid w:val="17583C82"/>
    <w:rsid w:val="18C30D0A"/>
    <w:rsid w:val="199541BD"/>
    <w:rsid w:val="1B976DF2"/>
    <w:rsid w:val="1C1F3FE1"/>
    <w:rsid w:val="1CB0635D"/>
    <w:rsid w:val="1DAA22B1"/>
    <w:rsid w:val="1F22272A"/>
    <w:rsid w:val="1F5E6F8A"/>
    <w:rsid w:val="2070126C"/>
    <w:rsid w:val="20F3090B"/>
    <w:rsid w:val="21A5275A"/>
    <w:rsid w:val="21FB55B9"/>
    <w:rsid w:val="22663BF0"/>
    <w:rsid w:val="24081BD3"/>
    <w:rsid w:val="24754FFB"/>
    <w:rsid w:val="25732FCB"/>
    <w:rsid w:val="25CC378E"/>
    <w:rsid w:val="27C849EC"/>
    <w:rsid w:val="27DB6F49"/>
    <w:rsid w:val="2CAE2ECA"/>
    <w:rsid w:val="2D5A3F9B"/>
    <w:rsid w:val="2E645260"/>
    <w:rsid w:val="2EAA17B0"/>
    <w:rsid w:val="2EEA3E37"/>
    <w:rsid w:val="2F7820A6"/>
    <w:rsid w:val="2FE42040"/>
    <w:rsid w:val="30437178"/>
    <w:rsid w:val="30AC3760"/>
    <w:rsid w:val="328F74A9"/>
    <w:rsid w:val="32FF3070"/>
    <w:rsid w:val="332F2195"/>
    <w:rsid w:val="33E310DB"/>
    <w:rsid w:val="34CB6D76"/>
    <w:rsid w:val="352B03DA"/>
    <w:rsid w:val="36C537B9"/>
    <w:rsid w:val="38245B4E"/>
    <w:rsid w:val="3988076E"/>
    <w:rsid w:val="3999651C"/>
    <w:rsid w:val="3B3B1DD5"/>
    <w:rsid w:val="3ECB3E4F"/>
    <w:rsid w:val="3F572AC3"/>
    <w:rsid w:val="3F8F2655"/>
    <w:rsid w:val="3FD21F2E"/>
    <w:rsid w:val="3FF70D0F"/>
    <w:rsid w:val="402165A2"/>
    <w:rsid w:val="40C43ED5"/>
    <w:rsid w:val="419D3A54"/>
    <w:rsid w:val="42896363"/>
    <w:rsid w:val="42B13EA7"/>
    <w:rsid w:val="436A57D1"/>
    <w:rsid w:val="43750E0E"/>
    <w:rsid w:val="462A0D36"/>
    <w:rsid w:val="466353C9"/>
    <w:rsid w:val="47046EB1"/>
    <w:rsid w:val="484F1394"/>
    <w:rsid w:val="486854BF"/>
    <w:rsid w:val="48E96878"/>
    <w:rsid w:val="4912190B"/>
    <w:rsid w:val="4A7E46EC"/>
    <w:rsid w:val="4B0472A9"/>
    <w:rsid w:val="4BB65EEE"/>
    <w:rsid w:val="4BFD17B7"/>
    <w:rsid w:val="4C44747B"/>
    <w:rsid w:val="4DFC34AA"/>
    <w:rsid w:val="4F137418"/>
    <w:rsid w:val="502B35AD"/>
    <w:rsid w:val="50610437"/>
    <w:rsid w:val="5137434C"/>
    <w:rsid w:val="53466B1F"/>
    <w:rsid w:val="540E4984"/>
    <w:rsid w:val="54354922"/>
    <w:rsid w:val="55872CBA"/>
    <w:rsid w:val="56012835"/>
    <w:rsid w:val="57152CEC"/>
    <w:rsid w:val="57390D9F"/>
    <w:rsid w:val="57E36F66"/>
    <w:rsid w:val="590A6E80"/>
    <w:rsid w:val="592A740D"/>
    <w:rsid w:val="5A16219D"/>
    <w:rsid w:val="5B1D05D5"/>
    <w:rsid w:val="5B2F1533"/>
    <w:rsid w:val="5F531D89"/>
    <w:rsid w:val="61272F5E"/>
    <w:rsid w:val="616143D9"/>
    <w:rsid w:val="661F118B"/>
    <w:rsid w:val="665232BF"/>
    <w:rsid w:val="699459E6"/>
    <w:rsid w:val="6B9839DC"/>
    <w:rsid w:val="6D3021AE"/>
    <w:rsid w:val="6DA94CCD"/>
    <w:rsid w:val="6F405AC4"/>
    <w:rsid w:val="6FFE1308"/>
    <w:rsid w:val="70192BC9"/>
    <w:rsid w:val="70262875"/>
    <w:rsid w:val="70504844"/>
    <w:rsid w:val="70B83C58"/>
    <w:rsid w:val="71903E4B"/>
    <w:rsid w:val="71C81E9D"/>
    <w:rsid w:val="744B5D33"/>
    <w:rsid w:val="766D0102"/>
    <w:rsid w:val="77117C2E"/>
    <w:rsid w:val="77296398"/>
    <w:rsid w:val="7781642B"/>
    <w:rsid w:val="77CB2540"/>
    <w:rsid w:val="786318EB"/>
    <w:rsid w:val="7A5428EF"/>
    <w:rsid w:val="7AFD179A"/>
    <w:rsid w:val="7B0A1533"/>
    <w:rsid w:val="7D5B62FF"/>
    <w:rsid w:val="7DFA2733"/>
    <w:rsid w:val="7E3B531A"/>
    <w:rsid w:val="7FF12322"/>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paragraph" w:styleId="4">
    <w:name w:val="List Paragraph"/>
    <w:basedOn w:val="1"/>
    <w:qFormat/>
    <w:uiPriority w:val="99"/>
    <w:pPr>
      <w:ind w:firstLine="420" w:firstLineChars="200"/>
    </w:pPr>
    <w:rPr>
      <w:rFonts w:ascii="Calibri" w:hAnsi="Calibri" w:eastAsia="宋体" w:cs="Times New Roman"/>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Office_11.1.0.9662_F1E327BC-269C-435d-A152-05C5408002CA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在路上</cp:lastModifiedBy>
  <dcterms:modified xsi:type="dcterms:W3CDTF">2020-06-02T08:45:32Z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2052-11.1.0.9662</vt:lpwstr>
  </property>
</Properties>
</file>